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BA4D" w14:textId="77777777" w:rsidR="002E3FAD" w:rsidRDefault="002E3FAD">
      <w:pPr>
        <w:spacing w:before="120"/>
      </w:pPr>
    </w:p>
    <w:p w14:paraId="7D000D7C" w14:textId="2F300BA7" w:rsidR="002E3FAD" w:rsidRDefault="31B2B47D">
      <w:pPr>
        <w:spacing w:after="60"/>
      </w:pPr>
      <w:r w:rsidRPr="31B2B47D">
        <w:rPr>
          <w:b/>
          <w:bCs/>
          <w:color w:val="002244"/>
          <w:sz w:val="36"/>
          <w:szCs w:val="36"/>
        </w:rPr>
        <w:t>Senior AI</w:t>
      </w:r>
      <w:r w:rsidR="00D86060">
        <w:rPr>
          <w:b/>
          <w:bCs/>
          <w:color w:val="002244"/>
          <w:sz w:val="36"/>
          <w:szCs w:val="36"/>
        </w:rPr>
        <w:t xml:space="preserve"> Implementation </w:t>
      </w:r>
      <w:r w:rsidR="1958B79B" w:rsidRPr="1958B79B">
        <w:rPr>
          <w:b/>
          <w:bCs/>
          <w:color w:val="002244"/>
          <w:sz w:val="36"/>
          <w:szCs w:val="36"/>
        </w:rPr>
        <w:t>Consultant</w:t>
      </w:r>
    </w:p>
    <w:p w14:paraId="06125572" w14:textId="06A7B899" w:rsidR="002E3FAD" w:rsidRDefault="00D86060">
      <w:pPr>
        <w:spacing w:after="160"/>
      </w:pPr>
      <w:r>
        <w:rPr>
          <w:i/>
          <w:iCs/>
          <w:color w:val="374F6B"/>
        </w:rPr>
        <w:t>Remote</w:t>
      </w:r>
      <w:r w:rsidR="77DCAAEE" w:rsidRPr="77DCAAEE">
        <w:rPr>
          <w:i/>
          <w:iCs/>
          <w:color w:val="374F6B"/>
        </w:rPr>
        <w:t>/Hybrid,</w:t>
      </w:r>
      <w:r>
        <w:rPr>
          <w:i/>
          <w:iCs/>
          <w:color w:val="374F6B"/>
        </w:rPr>
        <w:t xml:space="preserve"> </w:t>
      </w:r>
      <w:r w:rsidR="173AFD4D" w:rsidRPr="173AFD4D">
        <w:rPr>
          <w:i/>
          <w:iCs/>
          <w:color w:val="374F6B"/>
        </w:rPr>
        <w:t>July</w:t>
      </w:r>
      <w:r>
        <w:rPr>
          <w:i/>
          <w:iCs/>
          <w:color w:val="374F6B"/>
        </w:rPr>
        <w:t xml:space="preserve"> 2026</w:t>
      </w:r>
    </w:p>
    <w:p w14:paraId="0864B296" w14:textId="77777777" w:rsidR="002E3FAD" w:rsidRDefault="00D86060">
      <w:pPr>
        <w:pStyle w:val="Heading1"/>
        <w:pBdr>
          <w:bottom w:val="single" w:sz="6" w:space="4" w:color="31B7BC"/>
        </w:pBdr>
      </w:pPr>
      <w:r>
        <w:t>About Leap Transformation Services</w:t>
      </w:r>
    </w:p>
    <w:p w14:paraId="1A23D280" w14:textId="6F2CEF3E" w:rsidR="002E3FAD" w:rsidRDefault="00D86060">
      <w:pPr>
        <w:spacing w:before="40" w:after="80"/>
      </w:pPr>
      <w:r>
        <w:rPr>
          <w:color w:val="374F6B"/>
        </w:rPr>
        <w:t xml:space="preserve">Leap Transformation Services is a boutique Data &amp; AI consulting firm founded by Hortense Viard and Adam Davis. We work exclusively with Private Equity firms and Financial Services </w:t>
      </w:r>
      <w:r w:rsidR="00650A4A">
        <w:rPr>
          <w:color w:val="374F6B"/>
        </w:rPr>
        <w:t>organizations</w:t>
      </w:r>
      <w:r>
        <w:rPr>
          <w:color w:val="374F6B"/>
        </w:rPr>
        <w:t xml:space="preserve">, building AI tools that operating teams across Finance, Risk, Sustainability, </w:t>
      </w:r>
      <w:r w:rsidR="5833B0E3" w:rsidRPr="5833B0E3">
        <w:rPr>
          <w:color w:val="374F6B"/>
        </w:rPr>
        <w:t xml:space="preserve">Investor </w:t>
      </w:r>
      <w:r w:rsidR="2C0FA778" w:rsidRPr="2C0FA778">
        <w:rPr>
          <w:color w:val="374F6B"/>
        </w:rPr>
        <w:t xml:space="preserve">Relations, </w:t>
      </w:r>
      <w:r w:rsidR="171DE6A7" w:rsidRPr="171DE6A7">
        <w:rPr>
          <w:color w:val="374F6B"/>
        </w:rPr>
        <w:t>Deal Team</w:t>
      </w:r>
      <w:r>
        <w:rPr>
          <w:color w:val="374F6B"/>
        </w:rPr>
        <w:t xml:space="preserve">, and Front Office functions </w:t>
      </w:r>
      <w:proofErr w:type="gramStart"/>
      <w:r>
        <w:rPr>
          <w:color w:val="374F6B"/>
        </w:rPr>
        <w:t>actually adopt</w:t>
      </w:r>
      <w:proofErr w:type="gramEnd"/>
      <w:r>
        <w:rPr>
          <w:color w:val="374F6B"/>
        </w:rPr>
        <w:t xml:space="preserve"> and use.</w:t>
      </w:r>
    </w:p>
    <w:p w14:paraId="5A5F0493" w14:textId="3CDB6595" w:rsidR="002E3FAD" w:rsidRDefault="00D86060" w:rsidP="10636D17">
      <w:pPr>
        <w:spacing w:before="40" w:after="80"/>
      </w:pPr>
      <w:r>
        <w:rPr>
          <w:color w:val="374F6B"/>
        </w:rPr>
        <w:t xml:space="preserve">Our engagements are senior-led, tightly scoped, and delivery-focused. We build working tools and hand them over with </w:t>
      </w:r>
      <w:r w:rsidR="2DB23F6E" w:rsidRPr="2DB23F6E">
        <w:rPr>
          <w:color w:val="374F6B"/>
        </w:rPr>
        <w:t>the proper documentation</w:t>
      </w:r>
      <w:r>
        <w:rPr>
          <w:color w:val="374F6B"/>
        </w:rPr>
        <w:t xml:space="preserve"> and governance</w:t>
      </w:r>
      <w:r w:rsidR="63F148E4" w:rsidRPr="63F148E4">
        <w:rPr>
          <w:color w:val="374F6B"/>
        </w:rPr>
        <w:t xml:space="preserve"> </w:t>
      </w:r>
      <w:r w:rsidR="73A43308" w:rsidRPr="73A43308">
        <w:rPr>
          <w:color w:val="374F6B"/>
        </w:rPr>
        <w:t xml:space="preserve">in place based </w:t>
      </w:r>
      <w:r w:rsidR="36CEC692" w:rsidRPr="36CEC692">
        <w:rPr>
          <w:color w:val="374F6B"/>
        </w:rPr>
        <w:t xml:space="preserve">on </w:t>
      </w:r>
      <w:r w:rsidR="1BF4BFE7" w:rsidRPr="1BF4BFE7">
        <w:rPr>
          <w:color w:val="374F6B"/>
        </w:rPr>
        <w:t xml:space="preserve">risk </w:t>
      </w:r>
      <w:r w:rsidR="48A8D737" w:rsidRPr="48A8D737">
        <w:rPr>
          <w:color w:val="374F6B"/>
        </w:rPr>
        <w:t>tiering.</w:t>
      </w:r>
      <w:r>
        <w:rPr>
          <w:color w:val="374F6B"/>
        </w:rPr>
        <w:t xml:space="preserve"> We are expanding our delivery capacity and looking for an experienced </w:t>
      </w:r>
      <w:r w:rsidR="5EC3B4A4" w:rsidRPr="5EC3B4A4">
        <w:rPr>
          <w:color w:val="374F6B"/>
        </w:rPr>
        <w:t>AI builder</w:t>
      </w:r>
      <w:r>
        <w:rPr>
          <w:color w:val="374F6B"/>
        </w:rPr>
        <w:t xml:space="preserve"> to join us on active engagements.</w:t>
      </w:r>
    </w:p>
    <w:p w14:paraId="0A3F54A5" w14:textId="77777777" w:rsidR="002E3FAD" w:rsidRDefault="00D86060">
      <w:pPr>
        <w:pStyle w:val="Heading1"/>
        <w:pBdr>
          <w:bottom w:val="single" w:sz="6" w:space="4" w:color="31B7BC"/>
        </w:pBdr>
      </w:pPr>
      <w:r>
        <w:t>The Role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E3FAD" w14:paraId="13B9D431" w14:textId="77777777" w:rsidTr="3C5635F6">
        <w:tc>
          <w:tcPr>
            <w:tcW w:w="0" w:type="auto"/>
            <w:tcBorders>
              <w:top w:val="single" w:sz="12" w:space="0" w:color="31B7BC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EEF4F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A9EFE3B" w14:textId="27AC9A24" w:rsidR="002E3FAD" w:rsidRDefault="3C5635F6">
            <w:r w:rsidRPr="3C5635F6">
              <w:rPr>
                <w:b/>
                <w:bCs/>
                <w:color w:val="002244"/>
                <w:sz w:val="19"/>
                <w:szCs w:val="19"/>
              </w:rPr>
              <w:t xml:space="preserve">We need a </w:t>
            </w:r>
            <w:r w:rsidR="7910A241" w:rsidRPr="7910A241">
              <w:rPr>
                <w:b/>
                <w:bCs/>
                <w:color w:val="002244"/>
                <w:sz w:val="19"/>
                <w:szCs w:val="19"/>
              </w:rPr>
              <w:t xml:space="preserve">builder </w:t>
            </w:r>
            <w:r w:rsidR="1CFE6778" w:rsidRPr="1CFE6778">
              <w:rPr>
                <w:b/>
                <w:bCs/>
                <w:color w:val="002244"/>
                <w:sz w:val="19"/>
                <w:szCs w:val="19"/>
              </w:rPr>
              <w:t xml:space="preserve">who understands </w:t>
            </w:r>
            <w:r w:rsidR="57590638" w:rsidRPr="57590638">
              <w:rPr>
                <w:b/>
                <w:bCs/>
                <w:color w:val="002244"/>
                <w:sz w:val="19"/>
                <w:szCs w:val="19"/>
              </w:rPr>
              <w:t xml:space="preserve">Financial </w:t>
            </w:r>
            <w:r w:rsidR="238EE464" w:rsidRPr="238EE464">
              <w:rPr>
                <w:b/>
                <w:bCs/>
                <w:color w:val="002244"/>
                <w:sz w:val="19"/>
                <w:szCs w:val="19"/>
              </w:rPr>
              <w:t>Services</w:t>
            </w:r>
            <w:r w:rsidRPr="3C5635F6">
              <w:rPr>
                <w:b/>
                <w:bCs/>
                <w:color w:val="002244"/>
                <w:sz w:val="19"/>
                <w:szCs w:val="19"/>
              </w:rPr>
              <w:t>.</w:t>
            </w:r>
          </w:p>
          <w:p w14:paraId="008BF16F" w14:textId="04F91C0B" w:rsidR="002E3FAD" w:rsidRDefault="00D86060">
            <w:pPr>
              <w:spacing w:before="60"/>
            </w:pPr>
            <w:r>
              <w:rPr>
                <w:color w:val="002244"/>
                <w:sz w:val="19"/>
                <w:szCs w:val="19"/>
              </w:rPr>
              <w:t xml:space="preserve">You will take scoped, well-documented AI use cases and turn them into production-ready agentic workflows across </w:t>
            </w:r>
            <w:r w:rsidR="096E6E8A" w:rsidRPr="096E6E8A">
              <w:rPr>
                <w:color w:val="002244"/>
                <w:sz w:val="19"/>
                <w:szCs w:val="19"/>
              </w:rPr>
              <w:t xml:space="preserve">various </w:t>
            </w:r>
            <w:r w:rsidR="7DDB9EA9" w:rsidRPr="7DDB9EA9">
              <w:rPr>
                <w:color w:val="002244"/>
                <w:sz w:val="19"/>
                <w:szCs w:val="19"/>
              </w:rPr>
              <w:t xml:space="preserve">functions </w:t>
            </w:r>
            <w:r w:rsidR="6AD76476" w:rsidRPr="6AD76476">
              <w:rPr>
                <w:color w:val="002244"/>
                <w:sz w:val="19"/>
                <w:szCs w:val="19"/>
              </w:rPr>
              <w:t>at Private Equity</w:t>
            </w:r>
            <w:r>
              <w:rPr>
                <w:color w:val="002244"/>
                <w:sz w:val="19"/>
                <w:szCs w:val="19"/>
              </w:rPr>
              <w:t xml:space="preserve"> </w:t>
            </w:r>
            <w:r>
              <w:rPr>
                <w:color w:val="002244"/>
                <w:sz w:val="19"/>
                <w:szCs w:val="19"/>
              </w:rPr>
              <w:t>and financial services clients. You work directly under the engagement lead, on real client environments, to tight timelines.</w:t>
            </w:r>
          </w:p>
        </w:tc>
      </w:tr>
    </w:tbl>
    <w:p w14:paraId="5B0E1D5D" w14:textId="77777777" w:rsidR="002E3FAD" w:rsidRDefault="002E3FAD">
      <w:pPr>
        <w:spacing w:before="80"/>
      </w:pPr>
    </w:p>
    <w:p w14:paraId="47895BA7" w14:textId="77777777" w:rsidR="002E3FAD" w:rsidRDefault="00D86060">
      <w:pPr>
        <w:pStyle w:val="Heading2"/>
      </w:pPr>
      <w:r>
        <w:t>What you will build</w:t>
      </w:r>
    </w:p>
    <w:p w14:paraId="7B8DF63F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Agentic workflow automation: event-driven flows that capture, triage, classify, and route information across operational processes, with human review steps built in by design</w:t>
      </w:r>
    </w:p>
    <w:p w14:paraId="102CD443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AI-powered document and data extraction: reading unstructured inputs such as emails, PDFs, and financial models, and returning structured, reviewable outputs that teams can act on</w:t>
      </w:r>
    </w:p>
    <w:p w14:paraId="22D7CE1B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Monitoring and alerting tools: tracking activity across shared inboxes, workflows, and datasets, and surfacing what needs attention without creating noise</w:t>
      </w:r>
    </w:p>
    <w:p w14:paraId="4C0AAB63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Document analysis and control checks: validating inputs against criteria, flagging exceptions, and identifying gaps across compliance, reporting, and investment workflows</w:t>
      </w:r>
    </w:p>
    <w:p w14:paraId="505DDD0A" w14:textId="77777777" w:rsidR="002E3FAD" w:rsidRDefault="00D86060">
      <w:pPr>
        <w:pStyle w:val="ListParagraph"/>
        <w:numPr>
          <w:ilvl w:val="0"/>
          <w:numId w:val="2"/>
        </w:numPr>
        <w:spacing w:before="40" w:after="40"/>
        <w:rPr>
          <w:color w:val="374F6B"/>
        </w:rPr>
      </w:pPr>
      <w:r>
        <w:rPr>
          <w:color w:val="374F6B"/>
        </w:rPr>
        <w:t>Reconciliation and cross-check tools: comparing data across sources and producing an auditable record of discrepancies</w:t>
      </w:r>
    </w:p>
    <w:p w14:paraId="71EEC5DC" w14:textId="1CCE7B17" w:rsidR="3493069C" w:rsidRDefault="20FAB530" w:rsidP="3493069C">
      <w:pPr>
        <w:pStyle w:val="ListParagraph"/>
        <w:numPr>
          <w:ilvl w:val="0"/>
          <w:numId w:val="2"/>
        </w:numPr>
        <w:spacing w:before="40" w:after="40"/>
        <w:rPr>
          <w:color w:val="374F6B"/>
        </w:rPr>
      </w:pPr>
      <w:r w:rsidRPr="20FAB530">
        <w:rPr>
          <w:color w:val="374F6B"/>
        </w:rPr>
        <w:t xml:space="preserve">AI-enabled </w:t>
      </w:r>
      <w:r w:rsidR="6DD26DE1" w:rsidRPr="6DD26DE1">
        <w:rPr>
          <w:color w:val="374F6B"/>
        </w:rPr>
        <w:t>gap</w:t>
      </w:r>
      <w:r w:rsidR="3CF3AF73" w:rsidRPr="3CF3AF73">
        <w:rPr>
          <w:color w:val="374F6B"/>
        </w:rPr>
        <w:t xml:space="preserve"> assessment </w:t>
      </w:r>
      <w:r w:rsidR="675B61B5" w:rsidRPr="675B61B5">
        <w:rPr>
          <w:color w:val="374F6B"/>
        </w:rPr>
        <w:t xml:space="preserve">tools </w:t>
      </w:r>
      <w:r w:rsidR="6022245F" w:rsidRPr="6022245F">
        <w:rPr>
          <w:color w:val="374F6B"/>
        </w:rPr>
        <w:t xml:space="preserve">for sustainability </w:t>
      </w:r>
      <w:r w:rsidR="053E2718" w:rsidRPr="053E2718">
        <w:rPr>
          <w:color w:val="374F6B"/>
        </w:rPr>
        <w:t>office</w:t>
      </w:r>
    </w:p>
    <w:p w14:paraId="3BF5ADF0" w14:textId="5909D421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 xml:space="preserve">Governance documentation: user guides, workflow docs, </w:t>
      </w:r>
      <w:r w:rsidR="7600D9A2" w:rsidRPr="7600D9A2">
        <w:rPr>
          <w:color w:val="374F6B"/>
        </w:rPr>
        <w:t xml:space="preserve">runbooks, RACI, </w:t>
      </w:r>
      <w:r w:rsidR="0426FD27" w:rsidRPr="0426FD27">
        <w:rPr>
          <w:color w:val="374F6B"/>
        </w:rPr>
        <w:t xml:space="preserve">risk matrix </w:t>
      </w:r>
      <w:r w:rsidR="167EAAB4" w:rsidRPr="167EAAB4">
        <w:rPr>
          <w:color w:val="374F6B"/>
        </w:rPr>
        <w:t>that ship</w:t>
      </w:r>
      <w:r>
        <w:rPr>
          <w:color w:val="374F6B"/>
        </w:rPr>
        <w:t xml:space="preserve"> with every use case as standard</w:t>
      </w:r>
    </w:p>
    <w:p w14:paraId="5B1E99D7" w14:textId="77777777" w:rsidR="002E3FAD" w:rsidRDefault="002E3FAD">
      <w:pPr>
        <w:spacing w:before="80"/>
      </w:pPr>
    </w:p>
    <w:p w14:paraId="4000BC26" w14:textId="77777777" w:rsidR="002E3FAD" w:rsidRDefault="00D86060">
      <w:pPr>
        <w:pStyle w:val="Heading2"/>
      </w:pPr>
      <w:r>
        <w:t>How we work</w:t>
      </w:r>
    </w:p>
    <w:p w14:paraId="773EDEFC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Use cases arrive scoped and documented. You receive a build plan, agreed tech stack, open questions, and sample data before you start</w:t>
      </w:r>
    </w:p>
    <w:p w14:paraId="41FD59F1" w14:textId="59B22C65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 xml:space="preserve">You build against live client environments, including Microsoft 365 tenants, Power Platform, SharePoint, </w:t>
      </w:r>
      <w:r w:rsidR="00650A4A">
        <w:rPr>
          <w:color w:val="374F6B"/>
        </w:rPr>
        <w:t xml:space="preserve">OpenAI, Anthropic, Copilot </w:t>
      </w:r>
      <w:r>
        <w:rPr>
          <w:color w:val="374F6B"/>
        </w:rPr>
        <w:t>and document repositories</w:t>
      </w:r>
    </w:p>
    <w:p w14:paraId="2F7037B6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Human-in-the-loop is non-negotiable. Every AI output must be reviewed by a human before action, and your build enforces this</w:t>
      </w:r>
    </w:p>
    <w:p w14:paraId="7F160DB1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You document as you go. Governance, user guide, and runbook are deliverables, not afterthoughts</w:t>
      </w:r>
    </w:p>
    <w:p w14:paraId="0C183192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You flag blockers the same day, whether that is missing access, a wrong assumption, or accuracy below threshold. You do not quietly work around problems</w:t>
      </w:r>
    </w:p>
    <w:p w14:paraId="173261AB" w14:textId="77777777" w:rsidR="002E3FAD" w:rsidRDefault="002E3FAD">
      <w:pPr>
        <w:spacing w:before="80"/>
      </w:pPr>
    </w:p>
    <w:p w14:paraId="02D9965F" w14:textId="77777777" w:rsidR="002E3FAD" w:rsidRDefault="00D86060">
      <w:pPr>
        <w:pStyle w:val="Heading1"/>
        <w:pBdr>
          <w:bottom w:val="single" w:sz="6" w:space="4" w:color="31B7BC"/>
        </w:pBdr>
      </w:pPr>
      <w:r>
        <w:lastRenderedPageBreak/>
        <w:t>What We Are Looking For</w:t>
      </w:r>
    </w:p>
    <w:p w14:paraId="706A654B" w14:textId="77777777" w:rsidR="002E3FAD" w:rsidRDefault="00D86060">
      <w:pPr>
        <w:pStyle w:val="Heading2"/>
      </w:pPr>
      <w:r>
        <w:t>Required</w:t>
      </w:r>
    </w:p>
    <w:p w14:paraId="3CBCE396" w14:textId="485F367D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Proven experience building production AI tools, including classification, extraction, analysis, or agentic workflow use cases that real users operate. Portfolio or examples required</w:t>
      </w:r>
      <w:r w:rsidR="46168EA0" w:rsidRPr="46168EA0">
        <w:rPr>
          <w:color w:val="374F6B"/>
        </w:rPr>
        <w:t>.</w:t>
      </w:r>
    </w:p>
    <w:p w14:paraId="3573CD21" w14:textId="1D793B5C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Hands-on experience with the Claude</w:t>
      </w:r>
      <w:r w:rsidR="00650A4A">
        <w:rPr>
          <w:color w:val="374F6B"/>
        </w:rPr>
        <w:t xml:space="preserve"> </w:t>
      </w:r>
      <w:r>
        <w:rPr>
          <w:color w:val="374F6B"/>
        </w:rPr>
        <w:t>(Anthropic)</w:t>
      </w:r>
      <w:r w:rsidR="00650A4A">
        <w:rPr>
          <w:color w:val="374F6B"/>
        </w:rPr>
        <w:t>, ChatGPT (OpenAI), Copilot (MSFT)</w:t>
      </w:r>
      <w:r>
        <w:rPr>
          <w:color w:val="374F6B"/>
        </w:rPr>
        <w:t xml:space="preserve"> or comparable LLM</w:t>
      </w:r>
      <w:r w:rsidR="00650A4A">
        <w:rPr>
          <w:color w:val="374F6B"/>
        </w:rPr>
        <w:t>s</w:t>
      </w:r>
      <w:r>
        <w:rPr>
          <w:color w:val="374F6B"/>
        </w:rPr>
        <w:t>, with demonstrable prompt engineering and structured output capability</w:t>
      </w:r>
    </w:p>
    <w:p w14:paraId="36914A73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 xml:space="preserve">Power Automate experience, including multi-trigger flows, SharePoint </w:t>
      </w:r>
      <w:proofErr w:type="spellStart"/>
      <w:r>
        <w:rPr>
          <w:color w:val="374F6B"/>
        </w:rPr>
        <w:t>upserts</w:t>
      </w:r>
      <w:proofErr w:type="spellEnd"/>
      <w:r>
        <w:rPr>
          <w:color w:val="374F6B"/>
        </w:rPr>
        <w:t>, scheduled sweeps, and Outlook / Graph connectors</w:t>
      </w:r>
    </w:p>
    <w:p w14:paraId="7EE1E0FC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SharePoint list design, including structured schemas, status tracking, and filtering for operational trackers</w:t>
      </w:r>
    </w:p>
    <w:p w14:paraId="3A812121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Python or JavaScript, used for data transformation, API integration, and file-level processing</w:t>
      </w:r>
    </w:p>
    <w:p w14:paraId="06E0B2F4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Precision from a spec. You execute defined use cases accurately, flag deviations early, and do not gold-plate or scope-creep</w:t>
      </w:r>
    </w:p>
    <w:p w14:paraId="753DE473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Strong written communication. Build notes, open questions, and handover documentation are part of your output</w:t>
      </w:r>
    </w:p>
    <w:p w14:paraId="6271F740" w14:textId="77777777" w:rsidR="002E3FAD" w:rsidRDefault="002E3FAD">
      <w:pPr>
        <w:spacing w:before="80"/>
      </w:pPr>
    </w:p>
    <w:p w14:paraId="49274C9C" w14:textId="77777777" w:rsidR="002E3FAD" w:rsidRDefault="00D86060">
      <w:pPr>
        <w:pStyle w:val="Heading2"/>
      </w:pPr>
      <w:r>
        <w:t>Strongly preferred</w:t>
      </w:r>
    </w:p>
    <w:p w14:paraId="03B2C7E7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Microsoft 365 enterprise environment experience, including service accounts, delegated access, DLP constraints, and connector approvals in regulated environments</w:t>
      </w:r>
    </w:p>
    <w:p w14:paraId="7CABAA7A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Financial services or PE context, with an understanding of why data sensitivity, audit trails, human sign-off, and control design matter</w:t>
      </w:r>
    </w:p>
    <w:p w14:paraId="60B8080C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Experience delivering across multiple business functions, such as Finance, Risk, Compliance, Investment, or Sustainability workflows</w:t>
      </w:r>
    </w:p>
    <w:p w14:paraId="0F19AC9F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Prior consulting or client-delivery experience, with a clear sense of the difference between a working prototype and a production-ready handover</w:t>
      </w:r>
    </w:p>
    <w:p w14:paraId="670017B1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374F6B"/>
        </w:rPr>
        <w:t>openpyxl</w:t>
      </w:r>
      <w:proofErr w:type="spellEnd"/>
      <w:r>
        <w:rPr>
          <w:color w:val="374F6B"/>
        </w:rPr>
        <w:t xml:space="preserve"> or equivalent, for Excel-based financial model interaction</w:t>
      </w:r>
    </w:p>
    <w:p w14:paraId="0999C988" w14:textId="77777777" w:rsidR="002E3FAD" w:rsidRDefault="002E3FAD">
      <w:pPr>
        <w:spacing w:before="80"/>
      </w:pPr>
    </w:p>
    <w:p w14:paraId="6BD50CEB" w14:textId="77777777" w:rsidR="002E3FAD" w:rsidRDefault="00D86060">
      <w:pPr>
        <w:pStyle w:val="Heading2"/>
      </w:pPr>
      <w:r>
        <w:t>Not required</w:t>
      </w:r>
    </w:p>
    <w:p w14:paraId="675D7B25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Machine learning or model training. We use commercial models and build applied wrappers, not infrastructure</w:t>
      </w:r>
    </w:p>
    <w:p w14:paraId="2045F9CF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Full-stack engineering. This is applied AI implementation with real business users, not software product development</w:t>
      </w:r>
    </w:p>
    <w:p w14:paraId="378D3D43" w14:textId="77777777" w:rsidR="002E3FAD" w:rsidRDefault="002E3FAD">
      <w:pPr>
        <w:spacing w:before="80"/>
      </w:pPr>
    </w:p>
    <w:p w14:paraId="4073FC9F" w14:textId="77777777" w:rsidR="002E3FAD" w:rsidRDefault="00D86060">
      <w:pPr>
        <w:pStyle w:val="Heading1"/>
        <w:pBdr>
          <w:bottom w:val="single" w:sz="6" w:space="4" w:color="31B7BC"/>
        </w:pBdr>
      </w:pPr>
      <w:r>
        <w:t>Engagement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2E3FAD" w14:paraId="6EC630AF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3F3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F2BF7" w14:textId="77777777" w:rsidR="002E3FAD" w:rsidRDefault="00D86060">
            <w:r>
              <w:rPr>
                <w:b/>
                <w:bCs/>
                <w:color w:val="002244"/>
                <w:sz w:val="19"/>
                <w:szCs w:val="19"/>
              </w:rPr>
              <w:t>Engagement</w:t>
            </w:r>
          </w:p>
        </w:tc>
        <w:tc>
          <w:tcPr>
            <w:tcW w:w="656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67228" w14:textId="77777777" w:rsidR="002E3FAD" w:rsidRDefault="00D86060">
            <w:r>
              <w:rPr>
                <w:color w:val="374F6B"/>
                <w:sz w:val="19"/>
                <w:szCs w:val="19"/>
              </w:rPr>
              <w:t>Flexible, open to a range of arrangements</w:t>
            </w:r>
          </w:p>
        </w:tc>
      </w:tr>
      <w:tr w:rsidR="002E3FAD" w14:paraId="01D9CF9B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3F3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6A6B4" w14:textId="77777777" w:rsidR="002E3FAD" w:rsidRDefault="00D86060">
            <w:r>
              <w:rPr>
                <w:b/>
                <w:bCs/>
                <w:color w:val="002244"/>
                <w:sz w:val="19"/>
                <w:szCs w:val="19"/>
              </w:rPr>
              <w:t>Location</w:t>
            </w:r>
          </w:p>
        </w:tc>
        <w:tc>
          <w:tcPr>
            <w:tcW w:w="656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62E44" w14:textId="4604CB2E" w:rsidR="002E3FAD" w:rsidRDefault="00D86060">
            <w:r>
              <w:rPr>
                <w:color w:val="374F6B"/>
                <w:sz w:val="19"/>
                <w:szCs w:val="19"/>
              </w:rPr>
              <w:t>Remote</w:t>
            </w:r>
            <w:r w:rsidR="4894A417" w:rsidRPr="4894A417">
              <w:rPr>
                <w:color w:val="374F6B"/>
                <w:sz w:val="19"/>
                <w:szCs w:val="19"/>
              </w:rPr>
              <w:t>/hybrid,</w:t>
            </w:r>
            <w:r>
              <w:rPr>
                <w:color w:val="374F6B"/>
                <w:sz w:val="19"/>
                <w:szCs w:val="19"/>
              </w:rPr>
              <w:t xml:space="preserve"> with client calls typically in Eastern or Central time zones</w:t>
            </w:r>
          </w:p>
        </w:tc>
      </w:tr>
      <w:tr w:rsidR="002E3FAD" w14:paraId="4B56A613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3F3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E2C2D" w14:textId="77777777" w:rsidR="002E3FAD" w:rsidRDefault="00D86060">
            <w:r>
              <w:rPr>
                <w:b/>
                <w:bCs/>
                <w:color w:val="002244"/>
                <w:sz w:val="19"/>
                <w:szCs w:val="19"/>
              </w:rPr>
              <w:t>Compensation</w:t>
            </w:r>
          </w:p>
        </w:tc>
        <w:tc>
          <w:tcPr>
            <w:tcW w:w="656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17D0A" w14:textId="77777777" w:rsidR="002E3FAD" w:rsidRDefault="00D86060">
            <w:r>
              <w:rPr>
                <w:color w:val="374F6B"/>
                <w:sz w:val="19"/>
                <w:szCs w:val="19"/>
              </w:rPr>
              <w:t>Competitive, commensurate with demonstrated delivery capability</w:t>
            </w:r>
          </w:p>
        </w:tc>
      </w:tr>
      <w:tr w:rsidR="002E3FAD" w14:paraId="2C459F54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3F3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DFEA5" w14:textId="77777777" w:rsidR="002E3FAD" w:rsidRDefault="00D86060">
            <w:r>
              <w:rPr>
                <w:b/>
                <w:bCs/>
                <w:color w:val="002244"/>
                <w:sz w:val="19"/>
                <w:szCs w:val="19"/>
              </w:rPr>
              <w:t>Start</w:t>
            </w:r>
          </w:p>
        </w:tc>
        <w:tc>
          <w:tcPr>
            <w:tcW w:w="656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ED9C8" w14:textId="77777777" w:rsidR="002E3FAD" w:rsidRDefault="00D86060">
            <w:r>
              <w:rPr>
                <w:color w:val="374F6B"/>
                <w:sz w:val="19"/>
                <w:szCs w:val="19"/>
              </w:rPr>
              <w:t>Immediately</w:t>
            </w:r>
          </w:p>
        </w:tc>
      </w:tr>
      <w:tr w:rsidR="002E3FAD" w14:paraId="389392FB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3F3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E32E9" w14:textId="77777777" w:rsidR="002E3FAD" w:rsidRDefault="00D86060">
            <w:r>
              <w:rPr>
                <w:b/>
                <w:bCs/>
                <w:color w:val="002244"/>
                <w:sz w:val="19"/>
                <w:szCs w:val="19"/>
              </w:rPr>
              <w:t>Contact</w:t>
            </w:r>
          </w:p>
        </w:tc>
        <w:tc>
          <w:tcPr>
            <w:tcW w:w="656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3BC83" w14:textId="77A79678" w:rsidR="002E3FAD" w:rsidRDefault="00255FCD">
            <w:r w:rsidRPr="00255FCD">
              <w:rPr>
                <w:color w:val="374F6B"/>
                <w:sz w:val="19"/>
                <w:szCs w:val="19"/>
              </w:rPr>
              <w:t>hortense@leap-ts.com; adam@leap-ts.com</w:t>
            </w:r>
            <w:r>
              <w:rPr>
                <w:color w:val="374F6B"/>
                <w:sz w:val="19"/>
                <w:szCs w:val="19"/>
              </w:rPr>
              <w:t xml:space="preserve"> </w:t>
            </w:r>
          </w:p>
        </w:tc>
      </w:tr>
    </w:tbl>
    <w:p w14:paraId="107A732A" w14:textId="77777777" w:rsidR="002E3FAD" w:rsidRDefault="002E3FAD">
      <w:pPr>
        <w:spacing w:before="80"/>
      </w:pPr>
    </w:p>
    <w:p w14:paraId="44A0CCC7" w14:textId="77777777" w:rsidR="002E3FAD" w:rsidRDefault="00D86060">
      <w:pPr>
        <w:pStyle w:val="Heading1"/>
        <w:pBdr>
          <w:bottom w:val="single" w:sz="6" w:space="4" w:color="31B7BC"/>
        </w:pBdr>
      </w:pPr>
      <w:r>
        <w:t>How to Apply</w:t>
      </w:r>
    </w:p>
    <w:p w14:paraId="67DCC2CF" w14:textId="77777777" w:rsidR="002E3FAD" w:rsidRDefault="00D86060">
      <w:pPr>
        <w:spacing w:before="40" w:after="80"/>
      </w:pPr>
      <w:r>
        <w:rPr>
          <w:color w:val="374F6B"/>
        </w:rPr>
        <w:t>Get in touch at hortense@leap-ts.com. Please include the following:</w:t>
      </w:r>
    </w:p>
    <w:p w14:paraId="1B2A7B35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lastRenderedPageBreak/>
        <w:t>One or two AI tools you have built and deployed, including what they did, what stack you used, and how they performed when a real user ran them</w:t>
      </w:r>
    </w:p>
    <w:p w14:paraId="47C56B55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Your availability and what you are looking for</w:t>
      </w:r>
    </w:p>
    <w:p w14:paraId="7BB375DD" w14:textId="77777777" w:rsidR="002E3FAD" w:rsidRDefault="00D86060">
      <w:pPr>
        <w:pStyle w:val="ListParagraph"/>
        <w:numPr>
          <w:ilvl w:val="0"/>
          <w:numId w:val="2"/>
        </w:numPr>
        <w:spacing w:before="40" w:after="40"/>
      </w:pPr>
      <w:r>
        <w:rPr>
          <w:color w:val="374F6B"/>
        </w:rPr>
        <w:t>Any financial services or PE context that is relevant</w:t>
      </w:r>
    </w:p>
    <w:p w14:paraId="2EBDA542" w14:textId="77777777" w:rsidR="002E3FAD" w:rsidRDefault="00D86060">
      <w:pPr>
        <w:spacing w:before="40" w:after="80"/>
      </w:pPr>
      <w:r>
        <w:rPr>
          <w:i/>
          <w:iCs/>
          <w:color w:val="374F6B"/>
        </w:rPr>
        <w:t>We keep the process short. If the background fits, we will have a direct conversation and move quickly.</w:t>
      </w:r>
    </w:p>
    <w:p w14:paraId="3C79A620" w14:textId="77777777" w:rsidR="002E3FAD" w:rsidRDefault="002E3FAD">
      <w:pPr>
        <w:spacing w:before="160"/>
      </w:pPr>
    </w:p>
    <w:sectPr w:rsidR="002E3FAD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FF8B" w14:textId="77777777" w:rsidR="0098263F" w:rsidRDefault="0098263F">
      <w:r>
        <w:separator/>
      </w:r>
    </w:p>
  </w:endnote>
  <w:endnote w:type="continuationSeparator" w:id="0">
    <w:p w14:paraId="1D053584" w14:textId="77777777" w:rsidR="0098263F" w:rsidRDefault="0098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677" w14:textId="77777777" w:rsidR="00655200" w:rsidRDefault="00655200">
    <w:pPr>
      <w:pBdr>
        <w:top w:val="single" w:sz="4" w:space="4" w:color="C8D6E5"/>
      </w:pBdr>
      <w:tabs>
        <w:tab w:val="right" w:pos="9026"/>
      </w:tabs>
      <w:spacing w:before="80"/>
    </w:pPr>
    <w:r>
      <w:rPr>
        <w:color w:val="7B95B3"/>
        <w:sz w:val="16"/>
        <w:szCs w:val="16"/>
      </w:rPr>
      <w:t xml:space="preserve">Leap Transformation </w:t>
    </w:r>
    <w:proofErr w:type="gramStart"/>
    <w:r>
      <w:rPr>
        <w:color w:val="7B95B3"/>
        <w:sz w:val="16"/>
        <w:szCs w:val="16"/>
      </w:rPr>
      <w:t>Services  ·</w:t>
    </w:r>
    <w:proofErr w:type="gramEnd"/>
    <w:r>
      <w:rPr>
        <w:color w:val="7B95B3"/>
        <w:sz w:val="16"/>
        <w:szCs w:val="16"/>
      </w:rPr>
      <w:t xml:space="preserve">  Confidential</w:t>
    </w:r>
    <w:r>
      <w:rPr>
        <w:rFonts w:ascii="Impact" w:eastAsia="Impact" w:hAnsi="Impact" w:cs="Impact"/>
        <w:color w:val="374F6B"/>
        <w:sz w:val="18"/>
        <w:szCs w:val="18"/>
      </w:rPr>
      <w:tab/>
      <w:t>LEAP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CE68" w14:textId="77777777" w:rsidR="0098263F" w:rsidRDefault="0098263F">
      <w:r>
        <w:separator/>
      </w:r>
    </w:p>
  </w:footnote>
  <w:footnote w:type="continuationSeparator" w:id="0">
    <w:p w14:paraId="228E0222" w14:textId="77777777" w:rsidR="0098263F" w:rsidRDefault="0098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4FC0" w14:textId="7BEC4FBF" w:rsidR="00655200" w:rsidRDefault="00655200">
    <w:pPr>
      <w:pBdr>
        <w:bottom w:val="single" w:sz="6" w:space="4" w:color="002244"/>
      </w:pBdr>
      <w:spacing w:after="120"/>
    </w:pPr>
    <w:r>
      <w:rPr>
        <w:rFonts w:ascii="Impact" w:eastAsia="Impact" w:hAnsi="Impact" w:cs="Impact"/>
        <w:color w:val="002244"/>
        <w:sz w:val="22"/>
        <w:szCs w:val="22"/>
      </w:rPr>
      <w:t>LEAP TRANSFORMATION SERVICES</w:t>
    </w:r>
    <w:r>
      <w:rPr>
        <w:color w:val="374F6B"/>
        <w:sz w:val="18"/>
        <w:szCs w:val="18"/>
      </w:rPr>
      <w:t xml:space="preserve">   ·   </w:t>
    </w:r>
    <w:r w:rsidR="1958B79B" w:rsidRPr="1958B79B">
      <w:rPr>
        <w:color w:val="374F6B"/>
        <w:sz w:val="18"/>
        <w:szCs w:val="18"/>
      </w:rPr>
      <w:t xml:space="preserve">Senior </w:t>
    </w:r>
    <w:r>
      <w:rPr>
        <w:color w:val="374F6B"/>
        <w:sz w:val="18"/>
        <w:szCs w:val="18"/>
      </w:rPr>
      <w:t xml:space="preserve">AI Implementation </w:t>
    </w:r>
    <w:r w:rsidR="1958B79B" w:rsidRPr="1958B79B">
      <w:rPr>
        <w:color w:val="374F6B"/>
        <w:sz w:val="18"/>
        <w:szCs w:val="18"/>
      </w:rPr>
      <w:t>Consultant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912"/>
    <w:multiLevelType w:val="hybridMultilevel"/>
    <w:tmpl w:val="E8661C9C"/>
    <w:lvl w:ilvl="0" w:tplc="D8249542">
      <w:start w:val="1"/>
      <w:numFmt w:val="bullet"/>
      <w:lvlText w:val="–"/>
      <w:lvlJc w:val="left"/>
      <w:pPr>
        <w:ind w:left="540" w:hanging="270"/>
      </w:pPr>
    </w:lvl>
    <w:lvl w:ilvl="1" w:tplc="8EA6223A">
      <w:numFmt w:val="decimal"/>
      <w:lvlText w:val=""/>
      <w:lvlJc w:val="left"/>
    </w:lvl>
    <w:lvl w:ilvl="2" w:tplc="79FAECAE">
      <w:numFmt w:val="decimal"/>
      <w:lvlText w:val=""/>
      <w:lvlJc w:val="left"/>
    </w:lvl>
    <w:lvl w:ilvl="3" w:tplc="8932B0A4">
      <w:numFmt w:val="decimal"/>
      <w:lvlText w:val=""/>
      <w:lvlJc w:val="left"/>
    </w:lvl>
    <w:lvl w:ilvl="4" w:tplc="0D560260">
      <w:numFmt w:val="decimal"/>
      <w:lvlText w:val=""/>
      <w:lvlJc w:val="left"/>
    </w:lvl>
    <w:lvl w:ilvl="5" w:tplc="9BD0019C">
      <w:numFmt w:val="decimal"/>
      <w:lvlText w:val=""/>
      <w:lvlJc w:val="left"/>
    </w:lvl>
    <w:lvl w:ilvl="6" w:tplc="1742C74E">
      <w:numFmt w:val="decimal"/>
      <w:lvlText w:val=""/>
      <w:lvlJc w:val="left"/>
    </w:lvl>
    <w:lvl w:ilvl="7" w:tplc="8166B318">
      <w:numFmt w:val="decimal"/>
      <w:lvlText w:val=""/>
      <w:lvlJc w:val="left"/>
    </w:lvl>
    <w:lvl w:ilvl="8" w:tplc="1B74A444">
      <w:numFmt w:val="decimal"/>
      <w:lvlText w:val=""/>
      <w:lvlJc w:val="left"/>
    </w:lvl>
  </w:abstractNum>
  <w:abstractNum w:abstractNumId="1" w15:restartNumberingAfterBreak="0">
    <w:nsid w:val="4A2F41CE"/>
    <w:multiLevelType w:val="hybridMultilevel"/>
    <w:tmpl w:val="86A039B0"/>
    <w:lvl w:ilvl="0" w:tplc="760C1D50">
      <w:start w:val="1"/>
      <w:numFmt w:val="bullet"/>
      <w:lvlText w:val="●"/>
      <w:lvlJc w:val="left"/>
      <w:pPr>
        <w:ind w:left="720" w:hanging="360"/>
      </w:pPr>
    </w:lvl>
    <w:lvl w:ilvl="1" w:tplc="C6E03960">
      <w:start w:val="1"/>
      <w:numFmt w:val="bullet"/>
      <w:lvlText w:val="○"/>
      <w:lvlJc w:val="left"/>
      <w:pPr>
        <w:ind w:left="1440" w:hanging="360"/>
      </w:pPr>
    </w:lvl>
    <w:lvl w:ilvl="2" w:tplc="78A48BCE">
      <w:start w:val="1"/>
      <w:numFmt w:val="bullet"/>
      <w:lvlText w:val="■"/>
      <w:lvlJc w:val="left"/>
      <w:pPr>
        <w:ind w:left="2160" w:hanging="360"/>
      </w:pPr>
    </w:lvl>
    <w:lvl w:ilvl="3" w:tplc="E104D472">
      <w:start w:val="1"/>
      <w:numFmt w:val="bullet"/>
      <w:lvlText w:val="●"/>
      <w:lvlJc w:val="left"/>
      <w:pPr>
        <w:ind w:left="2880" w:hanging="360"/>
      </w:pPr>
    </w:lvl>
    <w:lvl w:ilvl="4" w:tplc="A20A0488">
      <w:start w:val="1"/>
      <w:numFmt w:val="bullet"/>
      <w:lvlText w:val="○"/>
      <w:lvlJc w:val="left"/>
      <w:pPr>
        <w:ind w:left="3600" w:hanging="360"/>
      </w:pPr>
    </w:lvl>
    <w:lvl w:ilvl="5" w:tplc="48A429E2">
      <w:start w:val="1"/>
      <w:numFmt w:val="bullet"/>
      <w:lvlText w:val="■"/>
      <w:lvlJc w:val="left"/>
      <w:pPr>
        <w:ind w:left="4320" w:hanging="360"/>
      </w:pPr>
    </w:lvl>
    <w:lvl w:ilvl="6" w:tplc="2DC41B2E">
      <w:start w:val="1"/>
      <w:numFmt w:val="bullet"/>
      <w:lvlText w:val="●"/>
      <w:lvlJc w:val="left"/>
      <w:pPr>
        <w:ind w:left="5040" w:hanging="360"/>
      </w:pPr>
    </w:lvl>
    <w:lvl w:ilvl="7" w:tplc="21F40F24">
      <w:start w:val="1"/>
      <w:numFmt w:val="bullet"/>
      <w:lvlText w:val="●"/>
      <w:lvlJc w:val="left"/>
      <w:pPr>
        <w:ind w:left="5760" w:hanging="360"/>
      </w:pPr>
    </w:lvl>
    <w:lvl w:ilvl="8" w:tplc="2460FC32">
      <w:start w:val="1"/>
      <w:numFmt w:val="bullet"/>
      <w:lvlText w:val="●"/>
      <w:lvlJc w:val="left"/>
      <w:pPr>
        <w:ind w:left="6480" w:hanging="360"/>
      </w:pPr>
    </w:lvl>
  </w:abstractNum>
  <w:num w:numId="1" w16cid:durableId="1867672099">
    <w:abstractNumId w:val="1"/>
    <w:lvlOverride w:ilvl="0">
      <w:startOverride w:val="1"/>
    </w:lvlOverride>
  </w:num>
  <w:num w:numId="2" w16cid:durableId="881609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AD"/>
    <w:rsid w:val="00005987"/>
    <w:rsid w:val="00034D31"/>
    <w:rsid w:val="00043252"/>
    <w:rsid w:val="00047310"/>
    <w:rsid w:val="00053D88"/>
    <w:rsid w:val="000A5B29"/>
    <w:rsid w:val="000C12E9"/>
    <w:rsid w:val="000E6FDA"/>
    <w:rsid w:val="001030E6"/>
    <w:rsid w:val="0010340C"/>
    <w:rsid w:val="0011083A"/>
    <w:rsid w:val="0011216B"/>
    <w:rsid w:val="00115068"/>
    <w:rsid w:val="00125C50"/>
    <w:rsid w:val="00145DE7"/>
    <w:rsid w:val="00151928"/>
    <w:rsid w:val="001524EF"/>
    <w:rsid w:val="00175811"/>
    <w:rsid w:val="00192B31"/>
    <w:rsid w:val="00194B56"/>
    <w:rsid w:val="0019722D"/>
    <w:rsid w:val="001A7E7C"/>
    <w:rsid w:val="001F10DF"/>
    <w:rsid w:val="001F3E49"/>
    <w:rsid w:val="00212291"/>
    <w:rsid w:val="00223E35"/>
    <w:rsid w:val="00230B6E"/>
    <w:rsid w:val="00230D26"/>
    <w:rsid w:val="00235F11"/>
    <w:rsid w:val="002377C2"/>
    <w:rsid w:val="00255FCD"/>
    <w:rsid w:val="0026257C"/>
    <w:rsid w:val="00263C63"/>
    <w:rsid w:val="00267DAB"/>
    <w:rsid w:val="002704EE"/>
    <w:rsid w:val="00284E49"/>
    <w:rsid w:val="002860A4"/>
    <w:rsid w:val="00294662"/>
    <w:rsid w:val="002A3B05"/>
    <w:rsid w:val="002A427D"/>
    <w:rsid w:val="002B6BA5"/>
    <w:rsid w:val="002D7071"/>
    <w:rsid w:val="002E3FAD"/>
    <w:rsid w:val="002F3EDA"/>
    <w:rsid w:val="00311BE1"/>
    <w:rsid w:val="003162BF"/>
    <w:rsid w:val="00336A24"/>
    <w:rsid w:val="00380A36"/>
    <w:rsid w:val="0039550B"/>
    <w:rsid w:val="003B1475"/>
    <w:rsid w:val="003D5787"/>
    <w:rsid w:val="003F70D6"/>
    <w:rsid w:val="00400C8D"/>
    <w:rsid w:val="00417E63"/>
    <w:rsid w:val="004270D2"/>
    <w:rsid w:val="00430285"/>
    <w:rsid w:val="00446CA6"/>
    <w:rsid w:val="00451DE9"/>
    <w:rsid w:val="00457DD1"/>
    <w:rsid w:val="0048315F"/>
    <w:rsid w:val="004D2956"/>
    <w:rsid w:val="004D438D"/>
    <w:rsid w:val="004E675D"/>
    <w:rsid w:val="004F0DDC"/>
    <w:rsid w:val="004F2CFB"/>
    <w:rsid w:val="00516510"/>
    <w:rsid w:val="00524E87"/>
    <w:rsid w:val="00525124"/>
    <w:rsid w:val="0053306B"/>
    <w:rsid w:val="00541A8B"/>
    <w:rsid w:val="00556959"/>
    <w:rsid w:val="00570C06"/>
    <w:rsid w:val="00574210"/>
    <w:rsid w:val="00585EF2"/>
    <w:rsid w:val="00591422"/>
    <w:rsid w:val="005C0F11"/>
    <w:rsid w:val="005E7C9B"/>
    <w:rsid w:val="005F3E66"/>
    <w:rsid w:val="00621F3E"/>
    <w:rsid w:val="0062366B"/>
    <w:rsid w:val="006273C1"/>
    <w:rsid w:val="00633698"/>
    <w:rsid w:val="006347D3"/>
    <w:rsid w:val="00644313"/>
    <w:rsid w:val="00650A4A"/>
    <w:rsid w:val="0065247F"/>
    <w:rsid w:val="00655200"/>
    <w:rsid w:val="00695B36"/>
    <w:rsid w:val="006C6551"/>
    <w:rsid w:val="006F07D7"/>
    <w:rsid w:val="00703899"/>
    <w:rsid w:val="007045AB"/>
    <w:rsid w:val="007111BB"/>
    <w:rsid w:val="007118D5"/>
    <w:rsid w:val="0072526D"/>
    <w:rsid w:val="00735ECD"/>
    <w:rsid w:val="00737E48"/>
    <w:rsid w:val="007458F7"/>
    <w:rsid w:val="007702D8"/>
    <w:rsid w:val="007731C8"/>
    <w:rsid w:val="00775E8F"/>
    <w:rsid w:val="00776AAC"/>
    <w:rsid w:val="00780BA6"/>
    <w:rsid w:val="0078742A"/>
    <w:rsid w:val="007949A0"/>
    <w:rsid w:val="00797756"/>
    <w:rsid w:val="007A3B5E"/>
    <w:rsid w:val="007B429B"/>
    <w:rsid w:val="007C633E"/>
    <w:rsid w:val="007C7CBE"/>
    <w:rsid w:val="007D2AA8"/>
    <w:rsid w:val="007D3C1B"/>
    <w:rsid w:val="007D4135"/>
    <w:rsid w:val="007D7E9F"/>
    <w:rsid w:val="007F65C3"/>
    <w:rsid w:val="00801E00"/>
    <w:rsid w:val="0080306B"/>
    <w:rsid w:val="008079E7"/>
    <w:rsid w:val="00811D1A"/>
    <w:rsid w:val="00812903"/>
    <w:rsid w:val="008130AB"/>
    <w:rsid w:val="00815817"/>
    <w:rsid w:val="008346AF"/>
    <w:rsid w:val="00853113"/>
    <w:rsid w:val="00867D83"/>
    <w:rsid w:val="00872243"/>
    <w:rsid w:val="008777C2"/>
    <w:rsid w:val="00881E23"/>
    <w:rsid w:val="00887D91"/>
    <w:rsid w:val="008C66E5"/>
    <w:rsid w:val="008C724E"/>
    <w:rsid w:val="008D35A7"/>
    <w:rsid w:val="008D7B5E"/>
    <w:rsid w:val="008F1954"/>
    <w:rsid w:val="00911A8A"/>
    <w:rsid w:val="00930B30"/>
    <w:rsid w:val="00935254"/>
    <w:rsid w:val="0094548E"/>
    <w:rsid w:val="00977375"/>
    <w:rsid w:val="0098263F"/>
    <w:rsid w:val="0098340D"/>
    <w:rsid w:val="009A59EB"/>
    <w:rsid w:val="009B4CEB"/>
    <w:rsid w:val="009C6C32"/>
    <w:rsid w:val="009D22EC"/>
    <w:rsid w:val="009D57D7"/>
    <w:rsid w:val="009D7306"/>
    <w:rsid w:val="009D797F"/>
    <w:rsid w:val="009F3887"/>
    <w:rsid w:val="009F4B49"/>
    <w:rsid w:val="00A028BD"/>
    <w:rsid w:val="00A053BA"/>
    <w:rsid w:val="00A12D20"/>
    <w:rsid w:val="00A27E29"/>
    <w:rsid w:val="00A32319"/>
    <w:rsid w:val="00A32453"/>
    <w:rsid w:val="00A44DA4"/>
    <w:rsid w:val="00A46783"/>
    <w:rsid w:val="00A53684"/>
    <w:rsid w:val="00A66ED6"/>
    <w:rsid w:val="00A76E51"/>
    <w:rsid w:val="00A869E3"/>
    <w:rsid w:val="00A97357"/>
    <w:rsid w:val="00AC694C"/>
    <w:rsid w:val="00AD010B"/>
    <w:rsid w:val="00AD4782"/>
    <w:rsid w:val="00AD6932"/>
    <w:rsid w:val="00AE00FC"/>
    <w:rsid w:val="00AE18FE"/>
    <w:rsid w:val="00AF4FE9"/>
    <w:rsid w:val="00B250AA"/>
    <w:rsid w:val="00B51129"/>
    <w:rsid w:val="00B82729"/>
    <w:rsid w:val="00B8708D"/>
    <w:rsid w:val="00B926C3"/>
    <w:rsid w:val="00BA25CB"/>
    <w:rsid w:val="00BA3DE4"/>
    <w:rsid w:val="00BA6304"/>
    <w:rsid w:val="00BA681C"/>
    <w:rsid w:val="00BB1CB0"/>
    <w:rsid w:val="00BC1337"/>
    <w:rsid w:val="00BC28AA"/>
    <w:rsid w:val="00BD45D4"/>
    <w:rsid w:val="00BD5B40"/>
    <w:rsid w:val="00BF58B9"/>
    <w:rsid w:val="00C04456"/>
    <w:rsid w:val="00C07FE3"/>
    <w:rsid w:val="00C23695"/>
    <w:rsid w:val="00C30375"/>
    <w:rsid w:val="00C43FDF"/>
    <w:rsid w:val="00C52203"/>
    <w:rsid w:val="00C570B7"/>
    <w:rsid w:val="00C61E01"/>
    <w:rsid w:val="00C63398"/>
    <w:rsid w:val="00C650DA"/>
    <w:rsid w:val="00CA76C3"/>
    <w:rsid w:val="00CC5816"/>
    <w:rsid w:val="00CD67FF"/>
    <w:rsid w:val="00CF5543"/>
    <w:rsid w:val="00D03AC3"/>
    <w:rsid w:val="00D11BD2"/>
    <w:rsid w:val="00D154D6"/>
    <w:rsid w:val="00D366B6"/>
    <w:rsid w:val="00D36E5A"/>
    <w:rsid w:val="00D439B5"/>
    <w:rsid w:val="00D73A98"/>
    <w:rsid w:val="00D86060"/>
    <w:rsid w:val="00D916E9"/>
    <w:rsid w:val="00D9276A"/>
    <w:rsid w:val="00DB1BC7"/>
    <w:rsid w:val="00DD0432"/>
    <w:rsid w:val="00DE12E7"/>
    <w:rsid w:val="00E476DC"/>
    <w:rsid w:val="00E55487"/>
    <w:rsid w:val="00E6211E"/>
    <w:rsid w:val="00E82A69"/>
    <w:rsid w:val="00E85E8F"/>
    <w:rsid w:val="00E93142"/>
    <w:rsid w:val="00ED2CD0"/>
    <w:rsid w:val="00ED704A"/>
    <w:rsid w:val="00EF0232"/>
    <w:rsid w:val="00EF4A12"/>
    <w:rsid w:val="00F13F45"/>
    <w:rsid w:val="00F14A8D"/>
    <w:rsid w:val="00F173B7"/>
    <w:rsid w:val="00F438BB"/>
    <w:rsid w:val="00F46852"/>
    <w:rsid w:val="00F47E8B"/>
    <w:rsid w:val="00F501A9"/>
    <w:rsid w:val="00F50EE5"/>
    <w:rsid w:val="00F57F34"/>
    <w:rsid w:val="00F6282D"/>
    <w:rsid w:val="00F67B95"/>
    <w:rsid w:val="00F77E5E"/>
    <w:rsid w:val="00F84835"/>
    <w:rsid w:val="00F92EF5"/>
    <w:rsid w:val="00FA5B66"/>
    <w:rsid w:val="00FA5E0F"/>
    <w:rsid w:val="00FE14ED"/>
    <w:rsid w:val="00FE1D96"/>
    <w:rsid w:val="00FE4F6B"/>
    <w:rsid w:val="00FF514F"/>
    <w:rsid w:val="015DF55A"/>
    <w:rsid w:val="02A0DD85"/>
    <w:rsid w:val="0426FD27"/>
    <w:rsid w:val="053E2718"/>
    <w:rsid w:val="088C6340"/>
    <w:rsid w:val="08E7B8E9"/>
    <w:rsid w:val="096E6E8A"/>
    <w:rsid w:val="0B7BADF0"/>
    <w:rsid w:val="0BF0F2A3"/>
    <w:rsid w:val="10636D17"/>
    <w:rsid w:val="14C46246"/>
    <w:rsid w:val="167EAAB4"/>
    <w:rsid w:val="171DE6A7"/>
    <w:rsid w:val="173AFD4D"/>
    <w:rsid w:val="1958B79B"/>
    <w:rsid w:val="1BAD85DD"/>
    <w:rsid w:val="1BF4BFE7"/>
    <w:rsid w:val="1CFE6778"/>
    <w:rsid w:val="20FAB530"/>
    <w:rsid w:val="213B1943"/>
    <w:rsid w:val="21F484F9"/>
    <w:rsid w:val="238EE464"/>
    <w:rsid w:val="24EFF515"/>
    <w:rsid w:val="25D0A093"/>
    <w:rsid w:val="277B3F82"/>
    <w:rsid w:val="27E2C5FE"/>
    <w:rsid w:val="2C0FA778"/>
    <w:rsid w:val="2DB23F6E"/>
    <w:rsid w:val="2E23ED68"/>
    <w:rsid w:val="31B2B47D"/>
    <w:rsid w:val="338DE18A"/>
    <w:rsid w:val="343A467F"/>
    <w:rsid w:val="3493069C"/>
    <w:rsid w:val="36AED6FB"/>
    <w:rsid w:val="36CEC692"/>
    <w:rsid w:val="37940FE4"/>
    <w:rsid w:val="3C5635F6"/>
    <w:rsid w:val="3CF3AF73"/>
    <w:rsid w:val="40A84104"/>
    <w:rsid w:val="4247FD5A"/>
    <w:rsid w:val="42B03841"/>
    <w:rsid w:val="46168EA0"/>
    <w:rsid w:val="4894A417"/>
    <w:rsid w:val="48A8D737"/>
    <w:rsid w:val="4B5C6DB5"/>
    <w:rsid w:val="4DF92961"/>
    <w:rsid w:val="504D4117"/>
    <w:rsid w:val="53BA7C0B"/>
    <w:rsid w:val="57590638"/>
    <w:rsid w:val="581F4F3A"/>
    <w:rsid w:val="5833B0E3"/>
    <w:rsid w:val="5EC3B4A4"/>
    <w:rsid w:val="6022245F"/>
    <w:rsid w:val="63678F1F"/>
    <w:rsid w:val="63F148E4"/>
    <w:rsid w:val="675B61B5"/>
    <w:rsid w:val="6A74E1E7"/>
    <w:rsid w:val="6AD76476"/>
    <w:rsid w:val="6B5947E8"/>
    <w:rsid w:val="6DD26DE1"/>
    <w:rsid w:val="73A43308"/>
    <w:rsid w:val="7600D9A2"/>
    <w:rsid w:val="77724D7C"/>
    <w:rsid w:val="77DCAAEE"/>
    <w:rsid w:val="7910A241"/>
    <w:rsid w:val="79F3E12D"/>
    <w:rsid w:val="7DDB9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9D773"/>
  <w15:docId w15:val="{F41C93B4-15FA-1246-8007-3A7BA5E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80"/>
      <w:outlineLvl w:val="0"/>
    </w:pPr>
    <w:rPr>
      <w:b/>
      <w:bCs/>
      <w:color w:val="002244"/>
      <w:sz w:val="24"/>
      <w:szCs w:val="24"/>
    </w:rPr>
  </w:style>
  <w:style w:type="paragraph" w:styleId="Heading2">
    <w:name w:val="heading 2"/>
    <w:uiPriority w:val="9"/>
    <w:unhideWhenUsed/>
    <w:qFormat/>
    <w:pPr>
      <w:spacing w:before="220" w:after="60"/>
      <w:outlineLvl w:val="1"/>
    </w:pPr>
    <w:rPr>
      <w:b/>
      <w:bCs/>
      <w:color w:val="00224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5F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70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4EE"/>
  </w:style>
  <w:style w:type="paragraph" w:styleId="Footer">
    <w:name w:val="footer"/>
    <w:basedOn w:val="Normal"/>
    <w:link w:val="FooterChar"/>
    <w:uiPriority w:val="99"/>
    <w:semiHidden/>
    <w:unhideWhenUsed/>
    <w:rsid w:val="00270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745</Words>
  <Characters>4628</Characters>
  <Application>Microsoft Office Word</Application>
  <DocSecurity>0</DocSecurity>
  <Lines>100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adam davis</cp:lastModifiedBy>
  <cp:revision>72</cp:revision>
  <dcterms:created xsi:type="dcterms:W3CDTF">2026-07-10T16:16:00Z</dcterms:created>
  <dcterms:modified xsi:type="dcterms:W3CDTF">2026-07-12T11:46:00Z</dcterms:modified>
</cp:coreProperties>
</file>